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2025年上海市大众工业学校招生简章</w:t>
      </w:r>
    </w:p>
    <w:p>
      <w:pPr>
        <w:jc w:val="center"/>
        <w:rPr>
          <w:b/>
          <w:sz w:val="24"/>
          <w:szCs w:val="24"/>
        </w:rPr>
      </w:pPr>
      <w:r>
        <w:rPr>
          <w:rFonts w:hint="eastAsia"/>
          <w:b/>
          <w:sz w:val="24"/>
          <w:szCs w:val="24"/>
        </w:rPr>
        <w:t>（随迁</w:t>
      </w:r>
      <w:r>
        <w:rPr>
          <w:b/>
          <w:sz w:val="24"/>
          <w:szCs w:val="24"/>
        </w:rPr>
        <w:t>子女考生</w:t>
      </w:r>
      <w:r>
        <w:rPr>
          <w:rFonts w:hint="eastAsia"/>
          <w:b/>
          <w:sz w:val="24"/>
          <w:szCs w:val="24"/>
        </w:rPr>
        <w:t>）</w:t>
      </w:r>
    </w:p>
    <w:p>
      <w:pPr>
        <w:pStyle w:val="10"/>
        <w:numPr>
          <w:ilvl w:val="0"/>
          <w:numId w:val="1"/>
        </w:numPr>
        <w:ind w:firstLineChars="0"/>
      </w:pPr>
      <w:r>
        <w:rPr>
          <w:rFonts w:hint="eastAsia"/>
        </w:rPr>
        <w:t>招生对象：</w:t>
      </w:r>
    </w:p>
    <w:p>
      <w:pPr>
        <w:ind w:left="420" w:leftChars="200" w:firstLine="420" w:firstLineChars="200"/>
      </w:pPr>
      <w:r>
        <w:rPr>
          <w:rFonts w:hint="eastAsia"/>
        </w:rPr>
        <w:t>学生须符合《上海市教育委员会关于做好2025年上海市全日制普通中等职业学校自主招收本市初中应届毕业生中来沪人员随迁子女工作的通知》（沪教委职〔2025〕7号）规定的报名条件并完成网上报名信息确认，且须参加上海市初中学业水平考试，并获得语文、数学、外语科目的有效成绩。</w:t>
      </w:r>
    </w:p>
    <w:p>
      <w:pPr>
        <w:pStyle w:val="10"/>
        <w:numPr>
          <w:ilvl w:val="0"/>
          <w:numId w:val="1"/>
        </w:numPr>
        <w:ind w:firstLineChars="0"/>
      </w:pPr>
      <w:r>
        <w:rPr>
          <w:rFonts w:hint="eastAsia"/>
        </w:rPr>
        <w:t>招生计划数：213  人，</w:t>
      </w:r>
      <w:r>
        <w:t>其中</w:t>
      </w:r>
      <w:r>
        <w:rPr>
          <w:rFonts w:hint="eastAsia"/>
        </w:rPr>
        <w:t>包含</w:t>
      </w:r>
      <w:r>
        <w:t>中高职贯通</w:t>
      </w:r>
      <w:r>
        <w:rPr>
          <w:rFonts w:hint="eastAsia"/>
        </w:rPr>
        <w:t xml:space="preserve"> </w:t>
      </w:r>
      <w:r>
        <w:t>43</w:t>
      </w:r>
      <w:r>
        <w:rPr>
          <w:rFonts w:hint="eastAsia"/>
        </w:rPr>
        <w:t>人</w:t>
      </w:r>
      <w:r>
        <w:t>。</w:t>
      </w:r>
    </w:p>
    <w:p>
      <w:pPr>
        <w:pStyle w:val="10"/>
        <w:numPr>
          <w:ilvl w:val="0"/>
          <w:numId w:val="1"/>
        </w:numPr>
        <w:ind w:firstLineChars="0"/>
      </w:pPr>
      <w:r>
        <w:rPr>
          <w:rFonts w:hint="eastAsia"/>
        </w:rPr>
        <w:t>学制：</w:t>
      </w:r>
      <w:r>
        <w:t>中高职贯通5</w:t>
      </w:r>
      <w:r>
        <w:rPr>
          <w:rFonts w:hint="eastAsia"/>
        </w:rPr>
        <w:t>年</w:t>
      </w:r>
      <w:r>
        <w:t>（</w:t>
      </w:r>
      <w:r>
        <w:rPr>
          <w:rFonts w:hint="eastAsia"/>
        </w:rPr>
        <w:t>3</w:t>
      </w:r>
      <w:r>
        <w:t>+2）</w:t>
      </w:r>
      <w:r>
        <w:rPr>
          <w:rFonts w:hint="eastAsia"/>
        </w:rPr>
        <w:t>，</w:t>
      </w:r>
      <w:r>
        <w:t>普通中专</w:t>
      </w:r>
      <w:r>
        <w:rPr>
          <w:rFonts w:hint="eastAsia"/>
        </w:rPr>
        <w:t>3年</w:t>
      </w:r>
      <w:r>
        <w:t>。</w:t>
      </w:r>
    </w:p>
    <w:p>
      <w:pPr>
        <w:pStyle w:val="10"/>
        <w:numPr>
          <w:ilvl w:val="0"/>
          <w:numId w:val="1"/>
        </w:numPr>
        <w:ind w:firstLineChars="0"/>
      </w:pPr>
      <w:r>
        <w:rPr>
          <w:rFonts w:hint="eastAsia"/>
        </w:rPr>
        <w:t>招生专业及人数：</w:t>
      </w:r>
      <w:r>
        <w:t xml:space="preserve"> </w:t>
      </w:r>
    </w:p>
    <w:tbl>
      <w:tblPr>
        <w:tblStyle w:val="6"/>
        <w:tblW w:w="8789" w:type="dxa"/>
        <w:tblInd w:w="-5" w:type="dxa"/>
        <w:tblLayout w:type="autofit"/>
        <w:tblCellMar>
          <w:top w:w="0" w:type="dxa"/>
          <w:left w:w="108" w:type="dxa"/>
          <w:bottom w:w="0" w:type="dxa"/>
          <w:right w:w="108" w:type="dxa"/>
        </w:tblCellMar>
      </w:tblPr>
      <w:tblGrid>
        <w:gridCol w:w="709"/>
        <w:gridCol w:w="3260"/>
        <w:gridCol w:w="1134"/>
        <w:gridCol w:w="2268"/>
        <w:gridCol w:w="709"/>
        <w:gridCol w:w="709"/>
      </w:tblGrid>
      <w:tr>
        <w:tblPrEx>
          <w:tblCellMar>
            <w:top w:w="0" w:type="dxa"/>
            <w:left w:w="108" w:type="dxa"/>
            <w:bottom w:w="0" w:type="dxa"/>
            <w:right w:w="108" w:type="dxa"/>
          </w:tblCellMar>
        </w:tblPrEx>
        <w:trPr>
          <w:trHeight w:val="480"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序号</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专业名称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专业性质</w:t>
            </w:r>
          </w:p>
        </w:tc>
        <w:tc>
          <w:tcPr>
            <w:tcW w:w="22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备注</w:t>
            </w:r>
          </w:p>
        </w:tc>
        <w:tc>
          <w:tcPr>
            <w:tcW w:w="141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招生</w:t>
            </w:r>
            <w:r>
              <w:rPr>
                <w:rFonts w:ascii="宋体" w:hAnsi="宋体" w:eastAsia="宋体" w:cs="宋体"/>
                <w:b/>
                <w:bCs/>
                <w:color w:val="000000"/>
                <w:kern w:val="0"/>
                <w:sz w:val="20"/>
                <w:szCs w:val="20"/>
              </w:rPr>
              <w:t>人数</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机电一体化技术</w:t>
            </w:r>
          </w:p>
        </w:tc>
        <w:tc>
          <w:tcPr>
            <w:tcW w:w="1134" w:type="dxa"/>
            <w:vMerge w:val="restart"/>
            <w:tcBorders>
              <w:top w:val="single" w:color="auto" w:sz="4" w:space="0"/>
              <w:left w:val="nil"/>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中高职贯通</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上海科学技术职业学院</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10</w:t>
            </w:r>
          </w:p>
        </w:tc>
        <w:tc>
          <w:tcPr>
            <w:tcW w:w="709" w:type="dxa"/>
            <w:vMerge w:val="restart"/>
            <w:tcBorders>
              <w:top w:val="nil"/>
              <w:left w:val="nil"/>
              <w:right w:val="single" w:color="auto" w:sz="4" w:space="0"/>
            </w:tcBorders>
            <w:shd w:val="clear" w:color="auto" w:fill="auto"/>
            <w:vAlign w:val="center"/>
          </w:tcPr>
          <w:p>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合计43</w:t>
            </w: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2</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汽车</w:t>
            </w:r>
            <w:r>
              <w:rPr>
                <w:rFonts w:ascii="宋体" w:hAnsi="宋体" w:eastAsia="宋体" w:cs="宋体"/>
                <w:b/>
                <w:color w:val="000000"/>
                <w:kern w:val="0"/>
                <w:sz w:val="16"/>
                <w:szCs w:val="16"/>
              </w:rPr>
              <w:t>检测与维修技术</w:t>
            </w:r>
          </w:p>
        </w:tc>
        <w:tc>
          <w:tcPr>
            <w:tcW w:w="1134" w:type="dxa"/>
            <w:vMerge w:val="continue"/>
            <w:tcBorders>
              <w:left w:val="nil"/>
              <w:right w:val="single" w:color="auto" w:sz="4" w:space="0"/>
            </w:tcBorders>
            <w:shd w:val="clear" w:color="auto" w:fill="auto"/>
            <w:noWrap/>
            <w:vAlign w:val="center"/>
          </w:tcPr>
          <w:p>
            <w:pPr>
              <w:jc w:val="center"/>
              <w:rPr>
                <w:rFonts w:ascii="宋体" w:hAnsi="宋体" w:eastAsia="宋体" w:cs="宋体"/>
                <w:b/>
                <w:color w:val="000000"/>
                <w:kern w:val="0"/>
                <w:sz w:val="16"/>
                <w:szCs w:val="16"/>
              </w:rPr>
            </w:pP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上海科学技术职业学院</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10</w:t>
            </w:r>
          </w:p>
        </w:tc>
        <w:tc>
          <w:tcPr>
            <w:tcW w:w="709" w:type="dxa"/>
            <w:vMerge w:val="continue"/>
            <w:tcBorders>
              <w:left w:val="nil"/>
              <w:right w:val="single" w:color="auto" w:sz="4" w:space="0"/>
            </w:tcBorders>
            <w:shd w:val="clear" w:color="auto" w:fill="auto"/>
            <w:vAlign w:val="center"/>
          </w:tcPr>
          <w:p>
            <w:pPr>
              <w:widowControl/>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384"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3</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工业机器人</w:t>
            </w:r>
            <w:r>
              <w:rPr>
                <w:rFonts w:ascii="宋体" w:hAnsi="宋体" w:eastAsia="宋体" w:cs="宋体"/>
                <w:b/>
                <w:color w:val="000000"/>
                <w:kern w:val="0"/>
                <w:sz w:val="16"/>
                <w:szCs w:val="16"/>
              </w:rPr>
              <w:t>技术</w:t>
            </w:r>
          </w:p>
        </w:tc>
        <w:tc>
          <w:tcPr>
            <w:tcW w:w="1134" w:type="dxa"/>
            <w:vMerge w:val="continue"/>
            <w:tcBorders>
              <w:left w:val="nil"/>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上海工商职业技术学院</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10</w:t>
            </w:r>
          </w:p>
        </w:tc>
        <w:tc>
          <w:tcPr>
            <w:tcW w:w="709" w:type="dxa"/>
            <w:vMerge w:val="continue"/>
            <w:tcBorders>
              <w:left w:val="nil"/>
              <w:right w:val="single" w:color="auto" w:sz="4" w:space="0"/>
            </w:tcBorders>
            <w:shd w:val="clear" w:color="auto" w:fill="auto"/>
            <w:vAlign w:val="center"/>
          </w:tcPr>
          <w:p>
            <w:pPr>
              <w:widowControl/>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384"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ascii="宋体" w:hAnsi="宋体" w:eastAsia="宋体" w:cs="宋体"/>
                <w:b/>
                <w:color w:val="000000"/>
                <w:kern w:val="0"/>
                <w:sz w:val="16"/>
                <w:szCs w:val="16"/>
              </w:rPr>
              <w:t>4</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模具设计与制造</w:t>
            </w:r>
          </w:p>
        </w:tc>
        <w:tc>
          <w:tcPr>
            <w:tcW w:w="1134" w:type="dxa"/>
            <w:vMerge w:val="continue"/>
            <w:tcBorders>
              <w:left w:val="nil"/>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上海</w:t>
            </w:r>
            <w:r>
              <w:rPr>
                <w:rFonts w:ascii="宋体" w:hAnsi="宋体" w:eastAsia="宋体" w:cs="宋体"/>
                <w:b/>
                <w:color w:val="000000"/>
                <w:kern w:val="0"/>
                <w:sz w:val="16"/>
                <w:szCs w:val="16"/>
              </w:rPr>
              <w:t>工程技术大学</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5</w:t>
            </w:r>
          </w:p>
        </w:tc>
        <w:tc>
          <w:tcPr>
            <w:tcW w:w="709" w:type="dxa"/>
            <w:vMerge w:val="continue"/>
            <w:tcBorders>
              <w:left w:val="nil"/>
              <w:right w:val="single" w:color="auto" w:sz="4" w:space="0"/>
            </w:tcBorders>
            <w:shd w:val="clear" w:color="auto" w:fill="auto"/>
            <w:vAlign w:val="center"/>
          </w:tcPr>
          <w:p>
            <w:pPr>
              <w:widowControl/>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384"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5</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智能控制技术</w:t>
            </w:r>
          </w:p>
        </w:tc>
        <w:tc>
          <w:tcPr>
            <w:tcW w:w="1134"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eastAsia="宋体" w:cs="宋体"/>
                <w:b/>
                <w:color w:val="000000"/>
                <w:kern w:val="0"/>
                <w:sz w:val="16"/>
                <w:szCs w:val="16"/>
              </w:rPr>
            </w:pP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上海</w:t>
            </w:r>
            <w:r>
              <w:rPr>
                <w:rFonts w:ascii="宋体" w:hAnsi="宋体" w:eastAsia="宋体" w:cs="宋体"/>
                <w:b/>
                <w:color w:val="000000"/>
                <w:kern w:val="0"/>
                <w:sz w:val="16"/>
                <w:szCs w:val="16"/>
              </w:rPr>
              <w:t>杉达学院</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8</w:t>
            </w:r>
          </w:p>
        </w:tc>
        <w:tc>
          <w:tcPr>
            <w:tcW w:w="709"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6</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数控技术应用</w:t>
            </w:r>
          </w:p>
        </w:tc>
        <w:tc>
          <w:tcPr>
            <w:tcW w:w="1134"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普通中专</w:t>
            </w:r>
          </w:p>
        </w:tc>
        <w:tc>
          <w:tcPr>
            <w:tcW w:w="2268"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免学费</w:t>
            </w:r>
          </w:p>
        </w:tc>
        <w:tc>
          <w:tcPr>
            <w:tcW w:w="1418" w:type="dxa"/>
            <w:gridSpan w:val="2"/>
            <w:vMerge w:val="restart"/>
            <w:tcBorders>
              <w:top w:val="single" w:color="auto" w:sz="4" w:space="0"/>
              <w:left w:val="nil"/>
              <w:right w:val="single" w:color="auto" w:sz="4" w:space="0"/>
            </w:tcBorders>
            <w:shd w:val="clear" w:color="auto" w:fill="auto"/>
            <w:noWrap/>
            <w:vAlign w:val="center"/>
          </w:tcPr>
          <w:p>
            <w:pPr>
              <w:ind w:firstLine="320" w:firstLineChars="200"/>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合 计</w:t>
            </w:r>
          </w:p>
          <w:p>
            <w:pPr>
              <w:ind w:firstLine="400" w:firstLineChars="250"/>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170</w:t>
            </w: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7</w:t>
            </w:r>
          </w:p>
        </w:tc>
        <w:tc>
          <w:tcPr>
            <w:tcW w:w="32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机电技术应用</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8</w:t>
            </w:r>
          </w:p>
        </w:tc>
        <w:tc>
          <w:tcPr>
            <w:tcW w:w="32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模具制造技术</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9</w:t>
            </w:r>
          </w:p>
        </w:tc>
        <w:tc>
          <w:tcPr>
            <w:tcW w:w="32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电气设备运行与控制（双证融通）</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10</w:t>
            </w:r>
          </w:p>
        </w:tc>
        <w:tc>
          <w:tcPr>
            <w:tcW w:w="32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工业机器人技术应用</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384"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11</w:t>
            </w:r>
          </w:p>
        </w:tc>
        <w:tc>
          <w:tcPr>
            <w:tcW w:w="32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汽车运用与维修</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12</w:t>
            </w:r>
          </w:p>
        </w:tc>
        <w:tc>
          <w:tcPr>
            <w:tcW w:w="32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新能源</w:t>
            </w:r>
            <w:r>
              <w:rPr>
                <w:rFonts w:ascii="宋体" w:hAnsi="宋体" w:eastAsia="宋体" w:cs="宋体"/>
                <w:b/>
                <w:color w:val="000000"/>
                <w:kern w:val="0"/>
                <w:sz w:val="16"/>
                <w:szCs w:val="16"/>
              </w:rPr>
              <w:t>汽车制造与检测</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13</w:t>
            </w:r>
          </w:p>
        </w:tc>
        <w:tc>
          <w:tcPr>
            <w:tcW w:w="32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中餐烹饪</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14</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中西面点</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15</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无人机</w:t>
            </w:r>
            <w:r>
              <w:rPr>
                <w:rFonts w:ascii="宋体" w:hAnsi="宋体" w:eastAsia="宋体" w:cs="宋体"/>
                <w:b/>
                <w:color w:val="000000"/>
                <w:kern w:val="0"/>
                <w:sz w:val="16"/>
                <w:szCs w:val="16"/>
              </w:rPr>
              <w:t>操控与维</w:t>
            </w:r>
            <w:r>
              <w:rPr>
                <w:rFonts w:hint="eastAsia" w:ascii="宋体" w:hAnsi="宋体" w:eastAsia="宋体" w:cs="宋体"/>
                <w:b/>
                <w:color w:val="000000"/>
                <w:kern w:val="0"/>
                <w:sz w:val="16"/>
                <w:szCs w:val="16"/>
              </w:rPr>
              <w:t>护</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p>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不免学费</w:t>
            </w:r>
          </w:p>
          <w:p>
            <w:pPr>
              <w:widowControl/>
              <w:jc w:val="center"/>
              <w:rPr>
                <w:rFonts w:hint="eastAsia" w:ascii="宋体" w:hAnsi="宋体" w:eastAsia="宋体" w:cs="宋体"/>
                <w:b/>
                <w:color w:val="000000"/>
                <w:kern w:val="0"/>
                <w:sz w:val="16"/>
                <w:szCs w:val="16"/>
              </w:rPr>
            </w:pPr>
            <w:r>
              <w:rPr>
                <w:rFonts w:hint="eastAsia" w:ascii="宋体" w:hAnsi="宋体" w:eastAsia="宋体" w:cs="宋体"/>
                <w:b/>
                <w:color w:val="000000"/>
                <w:kern w:val="0"/>
                <w:sz w:val="16"/>
                <w:szCs w:val="16"/>
              </w:rPr>
              <w:t>（4000元/年）</w:t>
            </w: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16</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大数据技术应用</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17</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会计事务</w:t>
            </w: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18</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计算机应用</w:t>
            </w:r>
          </w:p>
        </w:tc>
        <w:tc>
          <w:tcPr>
            <w:tcW w:w="1134"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r>
        <w:tblPrEx>
          <w:tblCellMar>
            <w:top w:w="0" w:type="dxa"/>
            <w:left w:w="108" w:type="dxa"/>
            <w:bottom w:w="0" w:type="dxa"/>
            <w:right w:w="108" w:type="dxa"/>
          </w:tblCellMar>
        </w:tblPrEx>
        <w:trPr>
          <w:trHeight w:val="288"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19</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color w:val="000000"/>
                <w:kern w:val="0"/>
                <w:sz w:val="16"/>
                <w:szCs w:val="16"/>
              </w:rPr>
            </w:pPr>
            <w:r>
              <w:rPr>
                <w:rFonts w:hint="eastAsia" w:ascii="宋体" w:hAnsi="宋体" w:eastAsia="宋体" w:cs="宋体"/>
                <w:b/>
                <w:color w:val="000000"/>
                <w:kern w:val="0"/>
                <w:sz w:val="16"/>
                <w:szCs w:val="16"/>
              </w:rPr>
              <w:t>计算机平面设计（平面广告设计与制作）</w:t>
            </w:r>
          </w:p>
        </w:tc>
        <w:tc>
          <w:tcPr>
            <w:tcW w:w="1134" w:type="dxa"/>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2268" w:type="dxa"/>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color w:val="000000"/>
                <w:kern w:val="0"/>
                <w:sz w:val="16"/>
                <w:szCs w:val="16"/>
              </w:rPr>
            </w:pPr>
          </w:p>
        </w:tc>
        <w:tc>
          <w:tcPr>
            <w:tcW w:w="1418" w:type="dxa"/>
            <w:gridSpan w:val="2"/>
            <w:vMerge w:val="continue"/>
            <w:tcBorders>
              <w:left w:val="nil"/>
              <w:bottom w:val="single" w:color="auto" w:sz="4" w:space="0"/>
              <w:right w:val="single" w:color="auto" w:sz="4" w:space="0"/>
            </w:tcBorders>
            <w:shd w:val="clear" w:color="auto" w:fill="auto"/>
            <w:noWrap/>
            <w:vAlign w:val="center"/>
          </w:tcPr>
          <w:p>
            <w:pPr>
              <w:jc w:val="center"/>
              <w:rPr>
                <w:rFonts w:ascii="宋体" w:hAnsi="宋体" w:eastAsia="宋体" w:cs="宋体"/>
                <w:b/>
                <w:bCs/>
                <w:color w:val="000000"/>
                <w:kern w:val="0"/>
                <w:sz w:val="16"/>
                <w:szCs w:val="16"/>
              </w:rPr>
            </w:pPr>
          </w:p>
        </w:tc>
      </w:tr>
    </w:tbl>
    <w:p>
      <w:pPr>
        <w:pStyle w:val="10"/>
        <w:ind w:left="420" w:firstLine="0" w:firstLineChars="0"/>
      </w:pPr>
    </w:p>
    <w:p>
      <w:pPr>
        <w:rPr>
          <w:rFonts w:hint="eastAsia" w:ascii="Times New Roman" w:hAnsi="Times New Roman" w:cs="Times New Roman"/>
          <w:b/>
        </w:rPr>
      </w:pPr>
      <w:r>
        <w:rPr>
          <w:rFonts w:hint="eastAsia" w:ascii="Times New Roman" w:hAnsi="Times New Roman" w:cs="Times New Roman"/>
          <w:b/>
        </w:rPr>
        <w:t>提示：</w:t>
      </w:r>
    </w:p>
    <w:p>
      <w:pPr>
        <w:numPr>
          <w:ilvl w:val="0"/>
          <w:numId w:val="2"/>
        </w:numPr>
        <w:rPr>
          <w:rFonts w:hint="default" w:ascii="Times New Roman" w:hAnsi="Times New Roman" w:cs="Times New Roman"/>
          <w:b/>
          <w:woUserID w:val="1"/>
        </w:rPr>
      </w:pPr>
      <w:r>
        <w:rPr>
          <w:rFonts w:hint="default" w:ascii="Times New Roman" w:hAnsi="Times New Roman" w:cs="Times New Roman"/>
          <w:b/>
          <w:woUserID w:val="1"/>
        </w:rPr>
        <w:t>收费标准</w:t>
      </w:r>
      <w:r>
        <w:rPr>
          <w:rFonts w:hint="default" w:ascii="Times New Roman" w:hAnsi="Times New Roman" w:cs="Times New Roman"/>
          <w:b/>
          <w:woUserID w:val="1"/>
        </w:rPr>
        <w:t>依据高中阶段收费标准执行。</w:t>
      </w:r>
    </w:p>
    <w:p>
      <w:pPr>
        <w:numPr>
          <w:ilvl w:val="0"/>
          <w:numId w:val="0"/>
        </w:numPr>
        <w:rPr>
          <w:rFonts w:hint="default" w:ascii="Times New Roman" w:hAnsi="Times New Roman" w:cs="Times New Roman"/>
          <w:b/>
          <w:woUserID w:val="1"/>
        </w:rPr>
      </w:pPr>
      <w:bookmarkStart w:id="0" w:name="_GoBack"/>
      <w:r>
        <w:rPr>
          <w:rFonts w:hint="default" w:ascii="Times New Roman" w:hAnsi="Times New Roman" w:cs="Times New Roman"/>
          <w:b/>
          <w:woUserID w:val="1"/>
        </w:rPr>
        <w:t>2.普通中职校志愿投档录取时不分专业，学校来校报到后填报专业志愿，学校将依据专业志愿与中考成绩分配专业和班级</w:t>
      </w:r>
      <w:r>
        <w:rPr>
          <w:rFonts w:hint="default" w:ascii="Times New Roman" w:hAnsi="Times New Roman" w:cs="Times New Roman"/>
          <w:b/>
          <w:woUserID w:val="1"/>
        </w:rPr>
        <w:t>。</w:t>
      </w:r>
    </w:p>
    <w:bookmarkEnd w:id="0"/>
    <w:p>
      <w:pPr>
        <w:rPr>
          <w:rFonts w:hint="eastAsia" w:ascii="Times New Roman" w:hAnsi="Times New Roman" w:cs="Times New Roman"/>
          <w:b/>
        </w:rPr>
      </w:pPr>
    </w:p>
    <w:p>
      <w:pPr>
        <w:rPr>
          <w:rFonts w:hint="default" w:ascii="宋体" w:hAnsi="宋体" w:eastAsia="宋体" w:cs="宋体"/>
          <w:b/>
          <w:bCs/>
          <w:szCs w:val="21"/>
          <w:woUserID w:val="1"/>
        </w:rPr>
      </w:pPr>
      <w:r>
        <w:rPr>
          <w:rFonts w:ascii="宋体" w:hAnsi="宋体" w:eastAsia="宋体" w:cs="宋体"/>
          <w:b/>
          <w:bCs/>
          <w:szCs w:val="21"/>
          <w:woUserID w:val="1"/>
        </w:rPr>
        <w:t>3.</w:t>
      </w:r>
      <w:r>
        <w:rPr>
          <w:rFonts w:ascii="宋体" w:hAnsi="宋体" w:eastAsia="宋体" w:cs="宋体"/>
          <w:b/>
          <w:bCs/>
          <w:szCs w:val="21"/>
          <w:woUserID w:val="1"/>
        </w:rPr>
        <w:t xml:space="preserve"> 所有专业</w:t>
      </w:r>
      <w:r>
        <w:rPr>
          <w:rFonts w:ascii="宋体" w:hAnsi="宋体" w:eastAsia="宋体" w:cs="宋体"/>
          <w:b/>
          <w:bCs/>
          <w:szCs w:val="21"/>
          <w:woUserID w:val="1"/>
        </w:rPr>
        <w:t>无需</w:t>
      </w:r>
      <w:r>
        <w:rPr>
          <w:rFonts w:ascii="宋体" w:hAnsi="宋体" w:eastAsia="宋体" w:cs="宋体"/>
          <w:b/>
          <w:bCs/>
          <w:szCs w:val="21"/>
          <w:woUserID w:val="1"/>
        </w:rPr>
        <w:t>面试。</w:t>
      </w:r>
    </w:p>
    <w:p>
      <w:pPr>
        <w:rPr>
          <w:rFonts w:ascii="宋体" w:hAnsi="宋体" w:eastAsia="宋体" w:cs="宋体"/>
          <w:b/>
          <w:bCs/>
          <w:szCs w:val="21"/>
          <w:woUserID w:val="1"/>
        </w:rPr>
      </w:pPr>
    </w:p>
    <w:p>
      <w:pPr>
        <w:rPr>
          <w:rFonts w:hint="eastAsia" w:ascii="宋体" w:hAnsi="宋体" w:eastAsia="宋体" w:cs="宋体"/>
          <w:b/>
          <w:bCs/>
          <w:szCs w:val="21"/>
        </w:rPr>
      </w:pPr>
      <w:r>
        <w:rPr>
          <w:rFonts w:ascii="宋体" w:hAnsi="宋体" w:eastAsia="宋体" w:cs="宋体"/>
          <w:b/>
          <w:bCs/>
          <w:szCs w:val="21"/>
        </w:rPr>
        <w:t>4</w:t>
      </w:r>
      <w:r>
        <w:rPr>
          <w:rFonts w:hint="eastAsia" w:ascii="宋体" w:hAnsi="宋体" w:eastAsia="宋体" w:cs="宋体"/>
          <w:b/>
          <w:bCs/>
          <w:szCs w:val="21"/>
        </w:rPr>
        <w:t>.</w:t>
      </w:r>
      <w:r>
        <w:rPr>
          <w:rFonts w:ascii="宋体" w:hAnsi="宋体" w:eastAsia="宋体" w:cs="宋体"/>
          <w:b/>
          <w:bCs/>
          <w:szCs w:val="21"/>
        </w:rPr>
        <w:t xml:space="preserve"> </w:t>
      </w:r>
      <w:r>
        <w:rPr>
          <w:rFonts w:hint="eastAsia" w:ascii="宋体" w:hAnsi="宋体" w:eastAsia="宋体" w:cs="宋体"/>
          <w:b/>
          <w:bCs/>
          <w:szCs w:val="21"/>
        </w:rPr>
        <w:t>路远</w:t>
      </w:r>
      <w:r>
        <w:rPr>
          <w:rFonts w:ascii="宋体" w:hAnsi="宋体" w:eastAsia="宋体" w:cs="宋体"/>
          <w:b/>
          <w:bCs/>
          <w:szCs w:val="21"/>
        </w:rPr>
        <w:t>的学生可申请住宿。</w:t>
      </w:r>
    </w:p>
    <w:p/>
    <w:p>
      <w:pPr>
        <w:ind w:firstLine="6405" w:firstLineChars="3050"/>
      </w:pPr>
      <w:r>
        <w:rPr>
          <w:rFonts w:hint="eastAsia"/>
        </w:rPr>
        <w:t xml:space="preserve"> 上海市大众工业学校</w:t>
      </w:r>
    </w:p>
    <w:p>
      <w:r>
        <w:rPr>
          <w:rFonts w:hint="eastAsia"/>
        </w:rPr>
        <w:t xml:space="preserve">                                                                   2025年4月</w:t>
      </w:r>
    </w:p>
    <w:sectPr>
      <w:pgSz w:w="11906" w:h="16838"/>
      <w:pgMar w:top="1134" w:right="1588"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F7FA1"/>
    <w:multiLevelType w:val="singleLevel"/>
    <w:tmpl w:val="FFBF7FA1"/>
    <w:lvl w:ilvl="0" w:tentative="0">
      <w:start w:val="1"/>
      <w:numFmt w:val="decimal"/>
      <w:suff w:val="space"/>
      <w:lvlText w:val="%1."/>
      <w:lvlJc w:val="left"/>
    </w:lvl>
  </w:abstractNum>
  <w:abstractNum w:abstractNumId="1">
    <w:nsid w:val="1BD16493"/>
    <w:multiLevelType w:val="multilevel"/>
    <w:tmpl w:val="1BD16493"/>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2D6"/>
    <w:rsid w:val="00005954"/>
    <w:rsid w:val="0000629C"/>
    <w:rsid w:val="0004695C"/>
    <w:rsid w:val="00052514"/>
    <w:rsid w:val="000726B5"/>
    <w:rsid w:val="00095DDE"/>
    <w:rsid w:val="000B205D"/>
    <w:rsid w:val="000D11C9"/>
    <w:rsid w:val="00100DFC"/>
    <w:rsid w:val="0011598A"/>
    <w:rsid w:val="00140211"/>
    <w:rsid w:val="00145340"/>
    <w:rsid w:val="001529BC"/>
    <w:rsid w:val="0017176F"/>
    <w:rsid w:val="00171E9C"/>
    <w:rsid w:val="00191826"/>
    <w:rsid w:val="00213A76"/>
    <w:rsid w:val="00215281"/>
    <w:rsid w:val="0025486D"/>
    <w:rsid w:val="0026733E"/>
    <w:rsid w:val="00284A7D"/>
    <w:rsid w:val="002870FC"/>
    <w:rsid w:val="002B0C63"/>
    <w:rsid w:val="002B7515"/>
    <w:rsid w:val="002D4D06"/>
    <w:rsid w:val="00304F76"/>
    <w:rsid w:val="00312A9D"/>
    <w:rsid w:val="00343045"/>
    <w:rsid w:val="00387FB2"/>
    <w:rsid w:val="003A5509"/>
    <w:rsid w:val="003A6229"/>
    <w:rsid w:val="003C3207"/>
    <w:rsid w:val="003D6120"/>
    <w:rsid w:val="003F1087"/>
    <w:rsid w:val="004008F1"/>
    <w:rsid w:val="00424435"/>
    <w:rsid w:val="00437BF6"/>
    <w:rsid w:val="004442B8"/>
    <w:rsid w:val="004622D6"/>
    <w:rsid w:val="0046694E"/>
    <w:rsid w:val="004B663D"/>
    <w:rsid w:val="004B7441"/>
    <w:rsid w:val="004C69D9"/>
    <w:rsid w:val="004E380C"/>
    <w:rsid w:val="004F1D14"/>
    <w:rsid w:val="00507248"/>
    <w:rsid w:val="00507603"/>
    <w:rsid w:val="00522B5D"/>
    <w:rsid w:val="0053687D"/>
    <w:rsid w:val="00546436"/>
    <w:rsid w:val="00555260"/>
    <w:rsid w:val="00591410"/>
    <w:rsid w:val="005B2168"/>
    <w:rsid w:val="005B2202"/>
    <w:rsid w:val="005B25B9"/>
    <w:rsid w:val="005B582C"/>
    <w:rsid w:val="005B7E75"/>
    <w:rsid w:val="005D1EF9"/>
    <w:rsid w:val="005D29C5"/>
    <w:rsid w:val="005D63BC"/>
    <w:rsid w:val="005E5546"/>
    <w:rsid w:val="00626C96"/>
    <w:rsid w:val="00627FD9"/>
    <w:rsid w:val="0065611C"/>
    <w:rsid w:val="006745BF"/>
    <w:rsid w:val="00680783"/>
    <w:rsid w:val="006A31E0"/>
    <w:rsid w:val="006A4295"/>
    <w:rsid w:val="006C5181"/>
    <w:rsid w:val="006D11DD"/>
    <w:rsid w:val="006E5B6F"/>
    <w:rsid w:val="006F45AA"/>
    <w:rsid w:val="006F66F8"/>
    <w:rsid w:val="006F6E06"/>
    <w:rsid w:val="00702BAA"/>
    <w:rsid w:val="007110EC"/>
    <w:rsid w:val="00712E75"/>
    <w:rsid w:val="00742637"/>
    <w:rsid w:val="00747ECA"/>
    <w:rsid w:val="00767DEB"/>
    <w:rsid w:val="007809A2"/>
    <w:rsid w:val="00795338"/>
    <w:rsid w:val="00797352"/>
    <w:rsid w:val="007B042F"/>
    <w:rsid w:val="007C0346"/>
    <w:rsid w:val="007E4DD9"/>
    <w:rsid w:val="007F1374"/>
    <w:rsid w:val="00835B37"/>
    <w:rsid w:val="00892184"/>
    <w:rsid w:val="008F147A"/>
    <w:rsid w:val="00911BB6"/>
    <w:rsid w:val="00914B13"/>
    <w:rsid w:val="0095115D"/>
    <w:rsid w:val="00990772"/>
    <w:rsid w:val="009B2F79"/>
    <w:rsid w:val="009B4C41"/>
    <w:rsid w:val="009C39C5"/>
    <w:rsid w:val="009D4250"/>
    <w:rsid w:val="009D6570"/>
    <w:rsid w:val="009F4A2E"/>
    <w:rsid w:val="00A0088B"/>
    <w:rsid w:val="00A0118D"/>
    <w:rsid w:val="00A15B92"/>
    <w:rsid w:val="00A17FC9"/>
    <w:rsid w:val="00A2483D"/>
    <w:rsid w:val="00A374D4"/>
    <w:rsid w:val="00A4290F"/>
    <w:rsid w:val="00A50F2D"/>
    <w:rsid w:val="00A770EA"/>
    <w:rsid w:val="00AC6FD7"/>
    <w:rsid w:val="00B1736D"/>
    <w:rsid w:val="00B22F30"/>
    <w:rsid w:val="00B26955"/>
    <w:rsid w:val="00B33087"/>
    <w:rsid w:val="00B41098"/>
    <w:rsid w:val="00B637A9"/>
    <w:rsid w:val="00B67F16"/>
    <w:rsid w:val="00B7661E"/>
    <w:rsid w:val="00B848F2"/>
    <w:rsid w:val="00B84CEF"/>
    <w:rsid w:val="00B85963"/>
    <w:rsid w:val="00BB2259"/>
    <w:rsid w:val="00BB2BDB"/>
    <w:rsid w:val="00BC5DA9"/>
    <w:rsid w:val="00C237D6"/>
    <w:rsid w:val="00C36C49"/>
    <w:rsid w:val="00C70DFC"/>
    <w:rsid w:val="00C7385D"/>
    <w:rsid w:val="00CD12DE"/>
    <w:rsid w:val="00D01C3C"/>
    <w:rsid w:val="00D14368"/>
    <w:rsid w:val="00D25AC8"/>
    <w:rsid w:val="00D3026F"/>
    <w:rsid w:val="00D34B06"/>
    <w:rsid w:val="00D50F84"/>
    <w:rsid w:val="00D516C8"/>
    <w:rsid w:val="00D53666"/>
    <w:rsid w:val="00D61822"/>
    <w:rsid w:val="00DA3081"/>
    <w:rsid w:val="00DB2A21"/>
    <w:rsid w:val="00E4570F"/>
    <w:rsid w:val="00E47ECA"/>
    <w:rsid w:val="00E50A66"/>
    <w:rsid w:val="00E672C9"/>
    <w:rsid w:val="00E77D8A"/>
    <w:rsid w:val="00E9157F"/>
    <w:rsid w:val="00EA1389"/>
    <w:rsid w:val="00EA3D12"/>
    <w:rsid w:val="00EE381A"/>
    <w:rsid w:val="00EE385D"/>
    <w:rsid w:val="00EF3458"/>
    <w:rsid w:val="00F368A6"/>
    <w:rsid w:val="00F40AEA"/>
    <w:rsid w:val="00F45442"/>
    <w:rsid w:val="00F53AF2"/>
    <w:rsid w:val="00F71707"/>
    <w:rsid w:val="00FC257E"/>
    <w:rsid w:val="00FD4712"/>
    <w:rsid w:val="00FF739A"/>
    <w:rsid w:val="2FDF03CF"/>
    <w:rsid w:val="77FD59B8"/>
    <w:rsid w:val="7B7FBAC5"/>
    <w:rsid w:val="7E97549C"/>
    <w:rsid w:val="7F35425F"/>
    <w:rsid w:val="BDDFCA5A"/>
    <w:rsid w:val="CFB913FC"/>
    <w:rsid w:val="DBEB7E2D"/>
    <w:rsid w:val="E98F9FC3"/>
    <w:rsid w:val="EBBB8E11"/>
    <w:rsid w:val="FC7DDF9F"/>
    <w:rsid w:val="FCEC36A9"/>
    <w:rsid w:val="FEBD6D03"/>
    <w:rsid w:val="FF57200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2 Char"/>
    <w:basedOn w:val="8"/>
    <w:link w:val="2"/>
    <w:qFormat/>
    <w:uiPriority w:val="9"/>
    <w:rPr>
      <w:rFonts w:ascii="宋体" w:hAnsi="宋体" w:eastAsia="宋体" w:cs="宋体"/>
      <w:b/>
      <w:bCs/>
      <w:kern w:val="0"/>
      <w:sz w:val="36"/>
      <w:szCs w:val="36"/>
    </w:rPr>
  </w:style>
  <w:style w:type="paragraph" w:styleId="10">
    <w:name w:val="List Paragraph"/>
    <w:basedOn w:val="1"/>
    <w:qFormat/>
    <w:uiPriority w:val="34"/>
    <w:pPr>
      <w:ind w:firstLine="420" w:firstLineChars="200"/>
    </w:pPr>
  </w:style>
  <w:style w:type="character" w:customStyle="1" w:styleId="11">
    <w:name w:val="页眉 Char"/>
    <w:basedOn w:val="8"/>
    <w:link w:val="5"/>
    <w:uiPriority w:val="99"/>
    <w:rPr>
      <w:sz w:val="18"/>
      <w:szCs w:val="18"/>
    </w:rPr>
  </w:style>
  <w:style w:type="character" w:customStyle="1" w:styleId="12">
    <w:name w:val="页脚 Char"/>
    <w:basedOn w:val="8"/>
    <w:link w:val="4"/>
    <w:uiPriority w:val="99"/>
    <w:rPr>
      <w:sz w:val="18"/>
      <w:szCs w:val="18"/>
    </w:rPr>
  </w:style>
  <w:style w:type="character" w:customStyle="1" w:styleId="13">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149D48-7F25-4B0C-A996-63745B0A2CDE}">
  <ds:schemaRefs/>
</ds:datastoreItem>
</file>

<file path=docProps/app.xml><?xml version="1.0" encoding="utf-8"?>
<Properties xmlns="http://schemas.openxmlformats.org/officeDocument/2006/extended-properties" xmlns:vt="http://schemas.openxmlformats.org/officeDocument/2006/docPropsVTypes">
  <Company>Lenovo</Company>
  <Pages>1</Pages>
  <Words>127</Words>
  <Characters>728</Characters>
  <Lines>6</Lines>
  <Paragraphs>1</Paragraphs>
  <TotalTime>0</TotalTime>
  <ScaleCrop>false</ScaleCrop>
  <LinksUpToDate>false</LinksUpToDate>
  <CharactersWithSpaces>854</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2025-03-24T18:48:00Z</dcterms:created>
  <dc:creator>Lenovo</dc:creator>
  <cp:lastModifiedBy>Lenovo</cp:lastModifiedBy>
  <cp:lastPrinted>2022-06-15T19:04:00Z</cp:lastPrinted>
  <dcterms:modified xsi:type="dcterms:W3CDTF">2025-04-24T19:05:37Z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